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A8" w:rsidRPr="004E2CA8" w:rsidRDefault="004E2CA8" w:rsidP="004E2CA8">
      <w:pPr>
        <w:pStyle w:val="a3"/>
        <w:spacing w:before="0" w:beforeAutospacing="0" w:after="0" w:afterAutospacing="0"/>
        <w:ind w:hanging="1"/>
        <w:textAlignment w:val="baseline"/>
        <w:rPr>
          <w:sz w:val="28"/>
          <w:szCs w:val="28"/>
        </w:rPr>
      </w:pPr>
      <w:proofErr w:type="spellStart"/>
      <w:r w:rsidRPr="004E2CA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Витрувианский</w:t>
      </w:r>
      <w:proofErr w:type="spellEnd"/>
      <w:r w:rsidRPr="004E2CA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человек</w:t>
      </w:r>
      <w:r w:rsidRPr="004E2CA8">
        <w:rPr>
          <w:rFonts w:eastAsiaTheme="minorEastAsia"/>
          <w:color w:val="000000" w:themeColor="text1"/>
          <w:kern w:val="24"/>
          <w:sz w:val="28"/>
          <w:szCs w:val="28"/>
        </w:rPr>
        <w:t xml:space="preserve"> — рисунок, созданный Леонардо да Винчи примерно в 1490—1492 годах как иллюстрация для книги, посвящённой трудам античного римского архитектора </w:t>
      </w:r>
      <w:proofErr w:type="spellStart"/>
      <w:r w:rsidRPr="004E2CA8">
        <w:rPr>
          <w:rFonts w:eastAsiaTheme="minorEastAsia"/>
          <w:b/>
          <w:color w:val="000000" w:themeColor="text1"/>
          <w:kern w:val="24"/>
          <w:sz w:val="28"/>
          <w:szCs w:val="28"/>
        </w:rPr>
        <w:t>Витрувия</w:t>
      </w:r>
      <w:proofErr w:type="spellEnd"/>
      <w:r w:rsidRPr="004E2CA8">
        <w:rPr>
          <w:rFonts w:eastAsiaTheme="minorEastAsia"/>
          <w:color w:val="000000" w:themeColor="text1"/>
          <w:kern w:val="24"/>
          <w:sz w:val="28"/>
          <w:szCs w:val="28"/>
        </w:rPr>
        <w:t xml:space="preserve">, и помещённый в одном из его дневников. На нём изображена фигура обнажённого мужчины в двух наложенных одна на другую позициях: с разведёнными в стороны руками и ногами, вписанная в окружность; с разведёнными руками и сведёнными вместе ногами, вписанная в </w:t>
      </w:r>
      <w:r w:rsidRPr="004E2CA8">
        <w:rPr>
          <w:rFonts w:eastAsiaTheme="minorEastAsia"/>
          <w:color w:val="000000" w:themeColor="text1"/>
          <w:kern w:val="24"/>
          <w:sz w:val="28"/>
          <w:szCs w:val="28"/>
        </w:rPr>
        <w:t>квадрат</w:t>
      </w:r>
      <w:r w:rsidRPr="004E2CA8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4E2CA8" w:rsidRPr="004E2CA8" w:rsidRDefault="004E2CA8" w:rsidP="004E2CA8">
      <w:pPr>
        <w:pStyle w:val="a3"/>
        <w:spacing w:before="0" w:beforeAutospacing="0" w:after="0" w:afterAutospacing="0"/>
        <w:ind w:hanging="1"/>
        <w:textAlignment w:val="baseline"/>
        <w:rPr>
          <w:sz w:val="28"/>
          <w:szCs w:val="28"/>
        </w:rPr>
      </w:pPr>
      <w:r w:rsidRPr="004E2CA8">
        <w:rPr>
          <w:rFonts w:eastAsiaTheme="minorEastAsia"/>
          <w:color w:val="000000" w:themeColor="text1"/>
          <w:kern w:val="24"/>
          <w:sz w:val="28"/>
          <w:szCs w:val="28"/>
        </w:rPr>
        <w:t>Рисунок и пояснения к нему иногда называют «</w:t>
      </w:r>
      <w:r w:rsidRPr="004E2CA8">
        <w:rPr>
          <w:rFonts w:eastAsiaTheme="minorEastAsia"/>
          <w:color w:val="000000" w:themeColor="text1"/>
          <w:kern w:val="24"/>
          <w:sz w:val="28"/>
          <w:szCs w:val="28"/>
        </w:rPr>
        <w:t>каноническими</w:t>
      </w:r>
      <w:r w:rsidRPr="004E2CA8">
        <w:rPr>
          <w:rFonts w:eastAsiaTheme="minorEastAsia"/>
          <w:color w:val="000000" w:themeColor="text1"/>
          <w:kern w:val="24"/>
          <w:sz w:val="28"/>
          <w:szCs w:val="28"/>
        </w:rPr>
        <w:t xml:space="preserve"> пропорциями». Рисунок выполнен </w:t>
      </w:r>
      <w:r w:rsidRPr="004E2CA8">
        <w:rPr>
          <w:rFonts w:eastAsiaTheme="minorEastAsia"/>
          <w:color w:val="000000" w:themeColor="text1"/>
          <w:kern w:val="24"/>
          <w:sz w:val="28"/>
          <w:szCs w:val="28"/>
        </w:rPr>
        <w:t>пером</w:t>
      </w:r>
      <w:r w:rsidRPr="004E2CA8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Pr="004E2CA8">
        <w:rPr>
          <w:rFonts w:eastAsiaTheme="minorEastAsia"/>
          <w:color w:val="000000" w:themeColor="text1"/>
          <w:kern w:val="24"/>
          <w:sz w:val="28"/>
          <w:szCs w:val="28"/>
        </w:rPr>
        <w:t>чернилами</w:t>
      </w:r>
      <w:r w:rsidRPr="004E2CA8">
        <w:rPr>
          <w:rFonts w:eastAsiaTheme="minorEastAsia"/>
          <w:color w:val="000000" w:themeColor="text1"/>
          <w:kern w:val="24"/>
          <w:sz w:val="28"/>
          <w:szCs w:val="28"/>
        </w:rPr>
        <w:t xml:space="preserve"> и </w:t>
      </w:r>
      <w:r w:rsidRPr="004E2CA8">
        <w:rPr>
          <w:rFonts w:eastAsiaTheme="minorEastAsia"/>
          <w:color w:val="000000" w:themeColor="text1"/>
          <w:kern w:val="24"/>
          <w:sz w:val="28"/>
          <w:szCs w:val="28"/>
        </w:rPr>
        <w:t>акварелью</w:t>
      </w:r>
      <w:r w:rsidRPr="004E2CA8">
        <w:rPr>
          <w:rFonts w:eastAsiaTheme="minorEastAsia"/>
          <w:color w:val="000000" w:themeColor="text1"/>
          <w:kern w:val="24"/>
          <w:sz w:val="28"/>
          <w:szCs w:val="28"/>
        </w:rPr>
        <w:t xml:space="preserve"> с помощью металлического карандаша, размеры рисунка 24,5 × 34,3 сантиметра. В настоящее время находится в коллекции </w:t>
      </w:r>
      <w:r w:rsidRPr="004E2CA8">
        <w:rPr>
          <w:rFonts w:eastAsiaTheme="minorEastAsia"/>
          <w:color w:val="000000" w:themeColor="text1"/>
          <w:kern w:val="24"/>
          <w:sz w:val="28"/>
          <w:szCs w:val="28"/>
        </w:rPr>
        <w:t>галереи Академии</w:t>
      </w:r>
      <w:r w:rsidRPr="004E2CA8">
        <w:rPr>
          <w:rFonts w:eastAsiaTheme="minorEastAsia"/>
          <w:color w:val="000000" w:themeColor="text1"/>
          <w:kern w:val="24"/>
          <w:sz w:val="28"/>
          <w:szCs w:val="28"/>
        </w:rPr>
        <w:t xml:space="preserve"> во </w:t>
      </w:r>
      <w:r w:rsidRPr="004E2CA8">
        <w:rPr>
          <w:rFonts w:eastAsiaTheme="minorEastAsia"/>
          <w:color w:val="000000" w:themeColor="text1"/>
          <w:kern w:val="24"/>
          <w:sz w:val="28"/>
          <w:szCs w:val="28"/>
        </w:rPr>
        <w:t>Флоренции</w:t>
      </w:r>
      <w:r w:rsidRPr="004E2CA8">
        <w:rPr>
          <w:rFonts w:eastAsiaTheme="minorEastAsia"/>
          <w:color w:val="000000" w:themeColor="text1"/>
          <w:kern w:val="24"/>
          <w:sz w:val="28"/>
          <w:szCs w:val="28"/>
        </w:rPr>
        <w:t>. Рисунок является одновременно научным трудом и произведением искусства, также он служит примером интереса Леонардо к пропорциям.</w:t>
      </w:r>
    </w:p>
    <w:p w:rsidR="004E2CA8" w:rsidRPr="004E2CA8" w:rsidRDefault="004E2CA8" w:rsidP="004E2CA8">
      <w:pPr>
        <w:pStyle w:val="a3"/>
        <w:spacing w:before="0" w:beforeAutospacing="0" w:after="0" w:afterAutospacing="0"/>
        <w:ind w:hanging="1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4E2CA8">
        <w:rPr>
          <w:rFonts w:eastAsiaTheme="minorEastAsia"/>
          <w:color w:val="000000" w:themeColor="text1"/>
          <w:kern w:val="24"/>
          <w:sz w:val="28"/>
          <w:szCs w:val="28"/>
        </w:rPr>
        <w:t xml:space="preserve">В соответствии с сопроводительными записями Леонардо, он был создан для определения пропорций (мужского) человеческого тела, как это описано в трактате античного архитектора </w:t>
      </w:r>
      <w:proofErr w:type="spellStart"/>
      <w:r w:rsidRPr="004E2CA8">
        <w:rPr>
          <w:rFonts w:eastAsiaTheme="minorEastAsia"/>
          <w:color w:val="000000" w:themeColor="text1"/>
          <w:kern w:val="24"/>
          <w:sz w:val="28"/>
          <w:szCs w:val="28"/>
        </w:rPr>
        <w:t>Витрувия</w:t>
      </w:r>
      <w:proofErr w:type="spellEnd"/>
      <w:r w:rsidRPr="004E2CA8">
        <w:rPr>
          <w:rFonts w:eastAsiaTheme="minorEastAsia"/>
          <w:color w:val="000000" w:themeColor="text1"/>
          <w:kern w:val="24"/>
          <w:sz w:val="28"/>
          <w:szCs w:val="28"/>
        </w:rPr>
        <w:t xml:space="preserve"> «</w:t>
      </w:r>
      <w:r w:rsidRPr="004E2CA8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Об архитектуре</w:t>
      </w:r>
      <w:r w:rsidRPr="004E2CA8">
        <w:rPr>
          <w:rFonts w:eastAsiaTheme="minorEastAsia"/>
          <w:color w:val="000000" w:themeColor="text1"/>
          <w:kern w:val="24"/>
          <w:sz w:val="28"/>
          <w:szCs w:val="28"/>
        </w:rPr>
        <w:t>» (Книга III, глава I):</w:t>
      </w:r>
    </w:p>
    <w:p w:rsidR="004E2CA8" w:rsidRPr="004E2CA8" w:rsidRDefault="004E2CA8" w:rsidP="004E2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от кончика самого длинного до самого низкого основания из четырёх пальцев равна длине ладони;</w:t>
      </w:r>
    </w:p>
    <w:p w:rsidR="004E2CA8" w:rsidRPr="004E2CA8" w:rsidRDefault="004E2CA8" w:rsidP="004E2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ступня составляет четыре ладони;</w:t>
      </w:r>
    </w:p>
    <w:p w:rsidR="004E2CA8" w:rsidRPr="004E2CA8" w:rsidRDefault="004E2CA8" w:rsidP="004E2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локоть составляет шесть ладоней;</w:t>
      </w:r>
    </w:p>
    <w:p w:rsidR="004E2CA8" w:rsidRPr="004E2CA8" w:rsidRDefault="004E2CA8" w:rsidP="004E2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человека составляет четыре локтя от кончиков пальцев (и соответственно 24 ладони);</w:t>
      </w:r>
    </w:p>
    <w:p w:rsidR="004E2CA8" w:rsidRPr="004E2CA8" w:rsidRDefault="004E2CA8" w:rsidP="004E2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A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равняется четырём ладоням;</w:t>
      </w:r>
    </w:p>
    <w:p w:rsidR="004E2CA8" w:rsidRPr="004E2CA8" w:rsidRDefault="004E2CA8" w:rsidP="004E2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размах человеческих рук равен его росту;</w:t>
      </w:r>
    </w:p>
    <w:p w:rsidR="004E2CA8" w:rsidRPr="004E2CA8" w:rsidRDefault="004E2CA8" w:rsidP="004E2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линии волос до подбородка составляет 1/10 его высоты;</w:t>
      </w:r>
    </w:p>
    <w:p w:rsidR="004E2CA8" w:rsidRPr="004E2CA8" w:rsidRDefault="004E2CA8" w:rsidP="004E2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макушки до подбородка составляет 1/8 его высоты;</w:t>
      </w:r>
    </w:p>
    <w:p w:rsidR="004E2CA8" w:rsidRPr="004E2CA8" w:rsidRDefault="004E2CA8" w:rsidP="004E2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макушки до сосков составляет 1/4 его высоты;</w:t>
      </w:r>
    </w:p>
    <w:p w:rsidR="004E2CA8" w:rsidRPr="004E2CA8" w:rsidRDefault="004E2CA8" w:rsidP="004E2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максимум ширины плеч составляет 1/4 его высоты;</w:t>
      </w:r>
    </w:p>
    <w:p w:rsidR="004E2CA8" w:rsidRPr="004E2CA8" w:rsidRDefault="004E2CA8" w:rsidP="004E2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локтя до кончика руки составляет 1/4 его высоты;</w:t>
      </w:r>
    </w:p>
    <w:p w:rsidR="004E2CA8" w:rsidRPr="004E2CA8" w:rsidRDefault="004E2CA8" w:rsidP="004E2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локтя до подмышки составляет 1/8 его высоты;</w:t>
      </w:r>
    </w:p>
    <w:p w:rsidR="004E2CA8" w:rsidRPr="004E2CA8" w:rsidRDefault="004E2CA8" w:rsidP="004E2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руки составляет 2/5 его высоты;</w:t>
      </w:r>
    </w:p>
    <w:p w:rsidR="004E2CA8" w:rsidRPr="004E2CA8" w:rsidRDefault="004E2CA8" w:rsidP="004E2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подбородка до носа составляет 1/3 длины его лица;</w:t>
      </w:r>
    </w:p>
    <w:p w:rsidR="004E2CA8" w:rsidRPr="004E2CA8" w:rsidRDefault="004E2CA8" w:rsidP="004E2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линии волос до бровей 1/3 длины его лица;</w:t>
      </w:r>
    </w:p>
    <w:p w:rsidR="004E2CA8" w:rsidRPr="004E2CA8" w:rsidRDefault="004E2CA8" w:rsidP="004E2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ушей 1/3 длины лица;</w:t>
      </w:r>
    </w:p>
    <w:p w:rsidR="004E2CA8" w:rsidRPr="004E2CA8" w:rsidRDefault="004E2CA8" w:rsidP="004E2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пупок является центром окружности.</w:t>
      </w:r>
    </w:p>
    <w:p w:rsidR="004E2CA8" w:rsidRPr="004E2CA8" w:rsidRDefault="004E2CA8" w:rsidP="004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открытие математических пропорций человеческого тела в XV веке сделанное да Винчи и другими учёными, стало одним из великих достижений итальянского ренессанса.</w:t>
      </w:r>
    </w:p>
    <w:p w:rsidR="004E2CA8" w:rsidRPr="004E2CA8" w:rsidRDefault="004E2CA8" w:rsidP="004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заметить при исследовании рисунка, комбинация расположений рук и ног в действительности даёт две различных позиции. Поза с разведёнными в стороны руками и сведенными вместе ногами оказывается вписанной в квадрат. С другой стороны, поза с раскинутыми в стороны и руками и ногами вписана в окружность. При более детальных исследованиях оказывается, что центром окружности является пуп фигуры, а центром квадрата </w:t>
      </w:r>
      <w:proofErr w:type="gramStart"/>
      <w:r w:rsidRPr="004E2CA8">
        <w:rPr>
          <w:rFonts w:ascii="Times New Roman" w:eastAsia="Times New Roman" w:hAnsi="Times New Roman" w:cs="Times New Roman"/>
          <w:sz w:val="28"/>
          <w:szCs w:val="28"/>
          <w:lang w:eastAsia="ru-RU"/>
        </w:rPr>
        <w:t>—г</w:t>
      </w:r>
      <w:proofErr w:type="gramEnd"/>
      <w:r w:rsidRPr="004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ениталии.</w:t>
      </w:r>
    </w:p>
    <w:p w:rsidR="004E2CA8" w:rsidRPr="004E2CA8" w:rsidRDefault="004E2CA8" w:rsidP="004E2CA8">
      <w:pPr>
        <w:pStyle w:val="a3"/>
        <w:spacing w:before="0" w:beforeAutospacing="0" w:after="0" w:afterAutospacing="0"/>
        <w:ind w:hanging="1"/>
        <w:textAlignment w:val="baseline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9C9AB69" wp14:editId="7BDC5707">
            <wp:extent cx="6570345" cy="8931796"/>
            <wp:effectExtent l="0" t="0" r="1905" b="3175"/>
            <wp:docPr id="6" name="Рисунок 6" descr="http://sonnetsincolour.org/wp-content/uploads/2015/02/882px-Da_Vinci_Vitruve_Luc_Viat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onnetsincolour.org/wp-content/uploads/2015/02/882px-Da_Vinci_Vitruve_Luc_Viato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93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CA8" w:rsidRPr="004E2CA8" w:rsidSect="004E2CA8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6CD5"/>
    <w:multiLevelType w:val="multilevel"/>
    <w:tmpl w:val="D60E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8"/>
    <w:rsid w:val="004E2CA8"/>
    <w:rsid w:val="009C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2C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2C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2017-09-24T05:09:00Z</dcterms:created>
  <dcterms:modified xsi:type="dcterms:W3CDTF">2017-09-24T05:15:00Z</dcterms:modified>
</cp:coreProperties>
</file>